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</w:tblGrid>
      <w:tr w:rsidR="00237538" w:rsidRPr="000731C7" w:rsidTr="00D14DA6">
        <w:trPr>
          <w:tblCellSpacing w:w="0" w:type="dxa"/>
        </w:trPr>
        <w:tc>
          <w:tcPr>
            <w:tcW w:w="8565" w:type="dxa"/>
            <w:vAlign w:val="bottom"/>
            <w:hideMark/>
          </w:tcPr>
          <w:p w:rsidR="00237538" w:rsidRDefault="00237538" w:rsidP="00D14D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9900"/>
                <w:sz w:val="36"/>
                <w:szCs w:val="36"/>
                <w:lang w:eastAsia="ru-RU"/>
              </w:rPr>
            </w:pPr>
          </w:p>
          <w:p w:rsidR="00237538" w:rsidRPr="000731C7" w:rsidRDefault="00237538" w:rsidP="00D14DA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bookmarkStart w:id="0" w:name="_GoBack"/>
            <w:r w:rsidRPr="000731C7">
              <w:rPr>
                <w:rFonts w:ascii="Verdana" w:eastAsia="Times New Roman" w:hAnsi="Verdana" w:cs="Times New Roman"/>
                <w:b/>
                <w:bCs/>
                <w:color w:val="FF9900"/>
                <w:sz w:val="36"/>
                <w:szCs w:val="36"/>
                <w:lang w:eastAsia="ru-RU"/>
              </w:rPr>
              <w:t>Политика в отношении обработки персональных данных</w:t>
            </w:r>
            <w:bookmarkEnd w:id="0"/>
          </w:p>
        </w:tc>
      </w:tr>
      <w:tr w:rsidR="00237538" w:rsidRPr="000731C7" w:rsidTr="00D14DA6">
        <w:trPr>
          <w:trHeight w:val="135"/>
          <w:tblCellSpacing w:w="0" w:type="dxa"/>
        </w:trPr>
        <w:tc>
          <w:tcPr>
            <w:tcW w:w="0" w:type="auto"/>
            <w:vAlign w:val="center"/>
            <w:hideMark/>
          </w:tcPr>
          <w:p w:rsidR="00237538" w:rsidRPr="000731C7" w:rsidRDefault="00237538" w:rsidP="00D14DA6">
            <w:pPr>
              <w:spacing w:after="0" w:line="13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0731C7"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45CA0C54" wp14:editId="7347BBF1">
                  <wp:extent cx="9525" cy="9525"/>
                  <wp:effectExtent l="0" t="0" r="0" b="0"/>
                  <wp:docPr id="1" name="Рисунок 1" descr="http://www.ikea.com/ms/img/misc/s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kea.com/ms/img/misc/s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538" w:rsidRPr="000731C7" w:rsidRDefault="00237538" w:rsidP="00237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sz w:val="14"/>
          <w:szCs w:val="14"/>
          <w:lang w:eastAsia="ru-RU"/>
        </w:rPr>
      </w:pPr>
    </w:p>
    <w:tbl>
      <w:tblPr>
        <w:tblW w:w="85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</w:tblGrid>
      <w:tr w:rsidR="00237538" w:rsidRPr="000731C7" w:rsidTr="00D14DA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538" w:rsidRPr="000731C7" w:rsidRDefault="00237538" w:rsidP="00D14DA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0731C7"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22020D0E" wp14:editId="43BB9958">
                  <wp:extent cx="9525" cy="9525"/>
                  <wp:effectExtent l="0" t="0" r="0" b="0"/>
                  <wp:docPr id="2" name="Рисунок 2" descr="http://www.ikea.com/ms/img/misc/s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ikea.com/ms/img/misc/s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538" w:rsidRPr="000731C7" w:rsidRDefault="00237538" w:rsidP="00237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sz w:val="14"/>
          <w:szCs w:val="14"/>
          <w:lang w:eastAsia="ru-RU"/>
        </w:rPr>
      </w:pPr>
    </w:p>
    <w:tbl>
      <w:tblPr>
        <w:tblW w:w="85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</w:tblGrid>
      <w:tr w:rsidR="00237538" w:rsidRPr="000731C7" w:rsidTr="00D14DA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538" w:rsidRPr="000731C7" w:rsidRDefault="00237538" w:rsidP="00D14D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0731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1 ВВЕДЕНИЕ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1.1 Настоящ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ий документ определяет политику ООО </w:t>
            </w:r>
            <w:r w:rsidR="00A110C3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«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ВОЛГАКОМСЕРВИС</w:t>
            </w:r>
            <w:r w:rsidR="00A110C3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»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(далее – Компания) в отношении обработки персональных данных (далее – </w:t>
            </w:r>
            <w:proofErr w:type="spell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ПДн</w:t>
            </w:r>
            <w:proofErr w:type="spell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).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1.2 Настоящая Политика разработана в соответствии с действующим законодательством Российской Федерации о персональных данных.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1.3 Действие настоящей Политики распространяется на все процессы по сбору, записи, систематизации, накоплению, хранению, уточнению, извлечению, использованию, передачи (распространению, предоставлению, доступу), обезличиванию, блокированию, удалению, уничтожению персональных данных, осуществляемых</w:t>
            </w:r>
            <w:proofErr w:type="gram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с использованием средств автоматизации и без использования таких средств.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0731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2 ПРИНЦИПЫ ОБРАБОТКИ ПЕРСОНАЛЬНЫХ ДАННЫХ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Обработка персональных данных осуществляется на основе следующих принципов: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1) Обработка персональных данных осуществляется на законной и справедливой основе;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 xml:space="preserve">2) Обработка персональных данных ограничивается достижением конкретных, заранее определенных и законных целей. </w:t>
            </w:r>
            <w:proofErr w:type="gram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Не допускается обработка персональных данных, несовместимая с целями сбора персональных данных;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3) Не допускается объединение баз данных, содержащих персональные данные, обработка которых осуществляется в целях, несовместных между собой;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4) Обработке подлежат только те персональные данные, которые отвечают целям их обработки;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5) Содержание и объем обрабатываемых персональных данных соответствуют заявленным целям обработки.</w:t>
            </w:r>
            <w:proofErr w:type="gram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Обрабатываемые персональные данные не являются избыточными по отношению к заявленным целям обработки;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proofErr w:type="gram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6)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заявленным целям их обработки.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7) 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</w:t>
            </w:r>
            <w:proofErr w:type="gram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по </w:t>
            </w:r>
            <w:proofErr w:type="gram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которому</w:t>
            </w:r>
            <w:proofErr w:type="gram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является субъект персональных данных. Обрабатываемые персональные данные подлежат уничтожению,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0731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3 УСЛОВИЯ ОБРАБОТКИ ПЕРСОНАЛЬНЫХ ДАННЫХ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3.1 Обработка персональных данных осуществляется с соблюдением принципов и правил, установленных Федеральным законом «О персональных данных». Обработка персональных данных допускается в следующих случаях: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1) Обработка персональных данных осуществляется с согласия субъекта персональных данных на обработку его персональных данных;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 xml:space="preserve">2)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выполнения</w:t>
            </w:r>
            <w:proofErr w:type="gram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возложенных законодательством Российской Федерации на оператора функций, полномочий и обязанностей;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3)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proofErr w:type="gram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4)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lastRenderedPageBreak/>
              <w:t>или поручителем;</w:t>
            </w:r>
            <w:proofErr w:type="gram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proofErr w:type="gram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5)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6) обработка персональных данных необходима для осуществления прав и законных интересов оператора или третьих лиц, либо для достижения общественно значимых целей при условии, что при этом не нарушаются права и свободы субъекта персональных данных;</w:t>
            </w:r>
            <w:proofErr w:type="gram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 xml:space="preserve">7) обработка персональных данных осуществляется в статистических или иных исследовательских целях, при условии обязательного обезличивания персональных данных. </w:t>
            </w:r>
            <w:proofErr w:type="gram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Исключение составляет 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агитации;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8) осуществляется обработка персональных данных, доступ неограниченного круга лиц к которым предоставлен субъектом персональных данных, либо по его просьбе (далее – персональные данные, сделанные общедоступными субъектом персональных данных);</w:t>
            </w:r>
            <w:proofErr w:type="gram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proofErr w:type="gram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9) осуществляется обработка персональных данных, подлежащих опубликованию или обязательному раскрытию в соответствии с федеральным законом.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3.2 Компания может включать персональные данные субъектов в общедоступные источники персональных данных, при этом Компания берет письменное согласие субъекта на обработку его персональных данных.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3.3 Компания может осуществлять обработку специальных категорий персональных данных, касающихся расовой, национальной принадлежности, состояния здоровья, при этом Компания обязуется брать письменное</w:t>
            </w:r>
            <w:proofErr w:type="gram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согласие субъекта на обработку его персональных данных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3.4 Биометрические персональные данные (сведения,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данных) в Компании не обрабатываются.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3.5 Компания осуществляет трансграничную передачу персональных данных только на территорию иностранных государств, обеспечивающих адекватную защиту прав субъектов персональных данных.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3.6</w:t>
            </w:r>
            <w:proofErr w:type="gram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не осуществляется.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3.7</w:t>
            </w:r>
            <w:proofErr w:type="gram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условиях лицензии на осуществление деятельности Компании отсутствует запрет на передачу персональных данных третьим лицам без согласия в письменной форме субъекта персональных данных.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 xml:space="preserve">3.8 При отсутствии необходимости письменного согласия субъекта на </w:t>
            </w:r>
            <w:proofErr w:type="gram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3.9 Компания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 (далее – поручение оператора).</w:t>
            </w:r>
            <w:proofErr w:type="gram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При этом Компания в договоре обязует лицо, осуществляющее обработку персональных данных по поручению Компании, соблюдать принципы и правила обработки персональных данных, предусмотренные настоящим Федеральным законом.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3.10</w:t>
            </w:r>
            <w:proofErr w:type="gram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случае если Компания поручает обработку персональных данных другому лицу, ответственность перед субъектом персональных данных за действия указанного лица несет Компания. </w:t>
            </w:r>
            <w:proofErr w:type="gram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Лицо, осуществляющее обработку персональных данных по поручению Компании, несет ответственность перед Компанией.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3.11 Компания обязуется и обязует иные лица, получившие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0731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4 ОБЯЗАННОСТИ КОМПАНИИ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В соответствии с требованиями Федерального закона № 152-ФЗ «О персональных данных» Компания обязана:</w:t>
            </w:r>
            <w:proofErr w:type="gram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• Предоставлять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• По требованию субъекта персональных данных уточнять обрабатываемые персональные данные, блокировать или удалять, если персональных данных являются неполными, устаревшими, неточными, незаконно полученными или не являются необходимыми для заявленной цели обработки.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 xml:space="preserve">• Вести Журнал учета обращений субъектов персональных данных, в </w:t>
            </w:r>
            <w:proofErr w:type="gram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котором</w:t>
            </w:r>
            <w:proofErr w:type="gram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должны фиксироваться запросы субъектов персональных данных на получение персональных данных, а также факты предоставления персональных данных по этим запросам.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• Уведомлять субъекта персональных данных об обработке персональных данных в том случае, если персональные данные были получены не от субъекта персональных данных. Исключение составляют следующие случаи: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lastRenderedPageBreak/>
              <w:t xml:space="preserve">1. Субъект </w:t>
            </w:r>
            <w:proofErr w:type="spell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ПДн</w:t>
            </w:r>
            <w:proofErr w:type="spell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уведомлен об осуществлении обработки его </w:t>
            </w:r>
            <w:proofErr w:type="spell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ПДн</w:t>
            </w:r>
            <w:proofErr w:type="spell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соответствующим оператором;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 xml:space="preserve">2. </w:t>
            </w:r>
            <w:proofErr w:type="spell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ПДн</w:t>
            </w:r>
            <w:proofErr w:type="spell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получены Компанией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</w:t>
            </w:r>
            <w:proofErr w:type="spell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ПДн</w:t>
            </w:r>
            <w:proofErr w:type="spell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;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 xml:space="preserve">3. </w:t>
            </w:r>
            <w:proofErr w:type="spell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ПДн</w:t>
            </w:r>
            <w:proofErr w:type="spell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сделаны</w:t>
            </w:r>
            <w:proofErr w:type="gram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общедоступными субъектом </w:t>
            </w:r>
            <w:proofErr w:type="spell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ПДн</w:t>
            </w:r>
            <w:proofErr w:type="spell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или получены из общедоступного источника;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 xml:space="preserve">4. Компания осуществляет обработку ПД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</w:t>
            </w:r>
            <w:proofErr w:type="spell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ПДн</w:t>
            </w:r>
            <w:proofErr w:type="spell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;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 xml:space="preserve">5. Предоставление субъекту ПД </w:t>
            </w:r>
            <w:proofErr w:type="gram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сведений, содержащихся в Уведомлении об обработке ПД нарушает</w:t>
            </w:r>
            <w:proofErr w:type="gram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права и законные интересы третьих лиц.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 xml:space="preserve">• </w:t>
            </w:r>
            <w:proofErr w:type="gram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Компанией и субъектом персональных данных либо если Компания не вправе осуществлять</w:t>
            </w:r>
            <w:proofErr w:type="gram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обработку персональных данных без согласия субъекта персональных данных на основаниях, предусмотренных №152-ФЗ «О персональных данных» или другими федеральными законами.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 xml:space="preserve">•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тридцати дней </w:t>
            </w:r>
            <w:proofErr w:type="gram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 даты поступления</w:t>
            </w:r>
            <w:proofErr w:type="gram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указанного отзыва, если иное не предусмотрено соглашением между Компанией и субъектом персональных данных. Об уничтожении персональных данных Компания обязана уведомить субъекта персональных данных.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• В случае поступления требования субъекта о прекращении обработки персональных данных в целях продвижения товаров, работ, услуг на рынке немедленно прекратить обработку персональных данных.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0731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5 МЕРЫ ПО ОБЕСПЕЧЕНИЮ БЕЗОПАСНОСТИ ПЕРСОНАЛЬНЫХ ДАННЫХ ПРИ ИХ ОБРАБОТКЕ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5.1</w:t>
            </w:r>
            <w:proofErr w:type="gram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П</w:t>
            </w:r>
            <w:proofErr w:type="gram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ри обработке персональных данных Компания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5.2 Обеспечение безопасности персональных данных достигается, в частности: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• определением угроз безопасности персональных данных при их обработке в информационных системах персональных данных;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•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• применением прошедших в установленном порядке процедуру оценки соответствия средств защиты информации;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•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• учетом машинных носителей персональных данных;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• обнаружением фактов несанкционированного доступа к персональным данным и принятием мер;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• восстановлением персональных данных, модифицированных или уничтоженных вследствие несанкционированного доступа к ним;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•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      </w:r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 xml:space="preserve">• </w:t>
            </w:r>
            <w:proofErr w:type="gramStart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контролем за</w:t>
            </w:r>
            <w:proofErr w:type="gramEnd"/>
            <w:r w:rsidRPr="000731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      </w:r>
          </w:p>
        </w:tc>
      </w:tr>
    </w:tbl>
    <w:p w:rsidR="00D666C7" w:rsidRPr="00237538" w:rsidRDefault="00D666C7" w:rsidP="00237538"/>
    <w:sectPr w:rsidR="00D666C7" w:rsidRPr="0023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A6"/>
    <w:rsid w:val="000731C7"/>
    <w:rsid w:val="00237538"/>
    <w:rsid w:val="00A110C3"/>
    <w:rsid w:val="00D666C7"/>
    <w:rsid w:val="00E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4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4928">
              <w:marLeft w:val="0"/>
              <w:marRight w:val="0"/>
              <w:marTop w:val="0"/>
              <w:marBottom w:val="105"/>
              <w:divBdr>
                <w:top w:val="single" w:sz="2" w:space="15" w:color="auto"/>
                <w:left w:val="single" w:sz="2" w:space="8" w:color="auto"/>
                <w:bottom w:val="single" w:sz="2" w:space="15" w:color="auto"/>
                <w:right w:val="single" w:sz="2" w:space="8" w:color="auto"/>
              </w:divBdr>
              <w:divsChild>
                <w:div w:id="9814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3629">
          <w:marLeft w:val="0"/>
          <w:marRight w:val="0"/>
          <w:marTop w:val="0"/>
          <w:marBottom w:val="0"/>
          <w:divBdr>
            <w:top w:val="single" w:sz="6" w:space="23" w:color="DFDFDF"/>
            <w:left w:val="single" w:sz="6" w:space="6" w:color="DFDFDF"/>
            <w:bottom w:val="single" w:sz="6" w:space="26" w:color="DFDFDF"/>
            <w:right w:val="single" w:sz="6" w:space="8" w:color="DFDFDF"/>
          </w:divBdr>
          <w:divsChild>
            <w:div w:id="11500505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62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0400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444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681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6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714">
              <w:marLeft w:val="0"/>
              <w:marRight w:val="0"/>
              <w:marTop w:val="0"/>
              <w:marBottom w:val="105"/>
              <w:divBdr>
                <w:top w:val="single" w:sz="2" w:space="15" w:color="auto"/>
                <w:left w:val="single" w:sz="2" w:space="8" w:color="auto"/>
                <w:bottom w:val="single" w:sz="2" w:space="15" w:color="auto"/>
                <w:right w:val="single" w:sz="2" w:space="8" w:color="auto"/>
              </w:divBdr>
              <w:divsChild>
                <w:div w:id="20090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8360">
          <w:marLeft w:val="0"/>
          <w:marRight w:val="0"/>
          <w:marTop w:val="0"/>
          <w:marBottom w:val="0"/>
          <w:divBdr>
            <w:top w:val="single" w:sz="6" w:space="23" w:color="DFDFDF"/>
            <w:left w:val="single" w:sz="6" w:space="6" w:color="DFDFDF"/>
            <w:bottom w:val="single" w:sz="6" w:space="26" w:color="DFDFDF"/>
            <w:right w:val="single" w:sz="6" w:space="8" w:color="DFDFDF"/>
          </w:divBdr>
          <w:divsChild>
            <w:div w:id="9348242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23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426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7578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495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2017-08-01T09:55:00Z</dcterms:created>
  <dcterms:modified xsi:type="dcterms:W3CDTF">2017-08-01T09:55:00Z</dcterms:modified>
</cp:coreProperties>
</file>